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8476DE9"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w:t>
      </w:r>
      <w:r w:rsidRPr="00474F90">
        <w:rPr>
          <w:rFonts w:ascii="Arial" w:hAnsi="Arial" w:cs="Arial"/>
          <w:sz w:val="22"/>
          <w:szCs w:val="22"/>
        </w:rPr>
        <w:t>expedida pela (o) .................., e CPF nº .........................,</w:t>
      </w:r>
      <w:r w:rsidR="009872FB" w:rsidRPr="00474F90">
        <w:rPr>
          <w:rFonts w:ascii="Arial" w:hAnsi="Arial" w:cs="Arial"/>
          <w:sz w:val="22"/>
          <w:szCs w:val="22"/>
        </w:rPr>
        <w:t xml:space="preserve"> </w:t>
      </w:r>
      <w:r w:rsidR="009872FB" w:rsidRPr="00474F90">
        <w:rPr>
          <w:rFonts w:ascii="Arial" w:hAnsi="Arial" w:cs="Arial"/>
          <w:i/>
          <w:iCs/>
          <w:sz w:val="22"/>
          <w:szCs w:val="22"/>
          <w:lang w:val="pt-PT"/>
        </w:rPr>
        <w:t xml:space="preserve">conforme atos constitutivos da empresa </w:t>
      </w:r>
      <w:r w:rsidR="009872FB" w:rsidRPr="00474F90">
        <w:rPr>
          <w:rFonts w:ascii="Arial" w:hAnsi="Arial" w:cs="Arial"/>
          <w:b/>
          <w:bCs/>
          <w:i/>
          <w:iCs/>
          <w:sz w:val="22"/>
          <w:szCs w:val="22"/>
          <w:lang w:val="pt-PT"/>
        </w:rPr>
        <w:t>OU</w:t>
      </w:r>
      <w:r w:rsidR="009872FB" w:rsidRPr="00474F90">
        <w:rPr>
          <w:rFonts w:ascii="Arial" w:hAnsi="Arial" w:cs="Arial"/>
          <w:i/>
          <w:iCs/>
          <w:sz w:val="22"/>
          <w:szCs w:val="22"/>
          <w:lang w:val="pt-PT"/>
        </w:rPr>
        <w:t xml:space="preserve"> procuração apresentada nos autos</w:t>
      </w:r>
      <w:r w:rsidRPr="00474F90">
        <w:rPr>
          <w:rFonts w:ascii="Arial" w:hAnsi="Arial" w:cs="Arial"/>
          <w:sz w:val="22"/>
          <w:szCs w:val="22"/>
        </w:rPr>
        <w:t xml:space="preserve"> tendo em vista o que consta no </w:t>
      </w:r>
      <w:r w:rsidR="005466C3" w:rsidRPr="00474F90">
        <w:rPr>
          <w:rFonts w:ascii="Arial" w:hAnsi="Arial" w:cs="Arial"/>
          <w:b/>
          <w:bCs/>
          <w:sz w:val="22"/>
          <w:szCs w:val="22"/>
        </w:rPr>
        <w:t xml:space="preserve">Processo Administrativo nº </w:t>
      </w:r>
      <w:r w:rsidR="00474F90" w:rsidRPr="00474F90">
        <w:rPr>
          <w:rFonts w:ascii="Arial" w:hAnsi="Arial" w:cs="Arial"/>
          <w:b/>
          <w:bCs/>
          <w:sz w:val="22"/>
          <w:szCs w:val="22"/>
        </w:rPr>
        <w:t>45.672/2024</w:t>
      </w:r>
      <w:r w:rsidR="0071720D" w:rsidRPr="00474F90">
        <w:rPr>
          <w:rFonts w:ascii="Arial" w:hAnsi="Arial" w:cs="Arial"/>
          <w:b/>
          <w:bCs/>
          <w:sz w:val="22"/>
          <w:szCs w:val="22"/>
        </w:rPr>
        <w:t>,</w:t>
      </w:r>
      <w:r w:rsidR="005466C3" w:rsidRPr="00474F90">
        <w:rPr>
          <w:rFonts w:ascii="Arial" w:hAnsi="Arial" w:cs="Arial"/>
          <w:b/>
          <w:bCs/>
          <w:sz w:val="22"/>
          <w:szCs w:val="22"/>
        </w:rPr>
        <w:t xml:space="preserve"> </w:t>
      </w:r>
      <w:r w:rsidRPr="00474F90">
        <w:rPr>
          <w:rFonts w:ascii="Arial" w:hAnsi="Arial" w:cs="Arial"/>
          <w:sz w:val="22"/>
          <w:szCs w:val="22"/>
        </w:rPr>
        <w:t xml:space="preserve">e em observância às disposições da Lei nº </w:t>
      </w:r>
      <w:r w:rsidR="00F232EF" w:rsidRPr="00474F90">
        <w:rPr>
          <w:rFonts w:ascii="Arial" w:hAnsi="Arial" w:cs="Arial"/>
          <w:sz w:val="22"/>
          <w:szCs w:val="22"/>
        </w:rPr>
        <w:t xml:space="preserve">14.133, </w:t>
      </w:r>
      <w:r w:rsidR="009872FB" w:rsidRPr="00474F90">
        <w:rPr>
          <w:rFonts w:ascii="Arial" w:hAnsi="Arial" w:cs="Arial"/>
          <w:sz w:val="22"/>
          <w:szCs w:val="22"/>
        </w:rPr>
        <w:t xml:space="preserve">de 1º de abril </w:t>
      </w:r>
      <w:r w:rsidR="00F232EF" w:rsidRPr="00474F90">
        <w:rPr>
          <w:rFonts w:ascii="Arial" w:hAnsi="Arial" w:cs="Arial"/>
          <w:sz w:val="22"/>
          <w:szCs w:val="22"/>
        </w:rPr>
        <w:t>de 2021</w:t>
      </w:r>
      <w:r w:rsidR="0050761F" w:rsidRPr="00474F90">
        <w:rPr>
          <w:rFonts w:ascii="Arial" w:hAnsi="Arial" w:cs="Arial"/>
          <w:sz w:val="22"/>
          <w:szCs w:val="22"/>
        </w:rPr>
        <w:t xml:space="preserve"> </w:t>
      </w:r>
      <w:r w:rsidR="0050761F" w:rsidRPr="00474F90">
        <w:rPr>
          <w:rFonts w:ascii="Arial" w:hAnsi="Arial" w:cs="Arial"/>
          <w:sz w:val="22"/>
          <w:szCs w:val="22"/>
          <w:lang w:val="pt-PT"/>
        </w:rPr>
        <w:t xml:space="preserve">e </w:t>
      </w:r>
      <w:r w:rsidR="009872FB" w:rsidRPr="00474F90">
        <w:rPr>
          <w:rFonts w:ascii="Arial" w:hAnsi="Arial" w:cs="Arial"/>
          <w:sz w:val="22"/>
          <w:szCs w:val="22"/>
          <w:lang w:val="pt-PT"/>
        </w:rPr>
        <w:t>demais legislações aplicáveis</w:t>
      </w:r>
      <w:r w:rsidR="006306EF" w:rsidRPr="00474F90">
        <w:rPr>
          <w:rFonts w:ascii="Arial" w:hAnsi="Arial" w:cs="Arial"/>
          <w:sz w:val="22"/>
          <w:szCs w:val="22"/>
        </w:rPr>
        <w:t>,</w:t>
      </w:r>
      <w:r w:rsidRPr="00474F90">
        <w:rPr>
          <w:rFonts w:ascii="Arial" w:hAnsi="Arial" w:cs="Arial"/>
          <w:i/>
          <w:sz w:val="22"/>
          <w:szCs w:val="22"/>
        </w:rPr>
        <w:t xml:space="preserve"> </w:t>
      </w:r>
      <w:r w:rsidRPr="00474F90">
        <w:rPr>
          <w:rFonts w:ascii="Arial" w:hAnsi="Arial" w:cs="Arial"/>
          <w:sz w:val="22"/>
          <w:szCs w:val="22"/>
        </w:rPr>
        <w:t xml:space="preserve">resolvem celebrar o presente Termo de Contrato, decorrente do </w:t>
      </w:r>
      <w:r w:rsidR="005466C3" w:rsidRPr="00474F90">
        <w:rPr>
          <w:rFonts w:ascii="Arial" w:hAnsi="Arial" w:cs="Arial"/>
          <w:b/>
          <w:bCs/>
          <w:sz w:val="22"/>
          <w:szCs w:val="22"/>
        </w:rPr>
        <w:t>Pregão Eletrônico</w:t>
      </w:r>
      <w:r w:rsidR="000B23ED" w:rsidRPr="00474F90">
        <w:rPr>
          <w:rFonts w:ascii="Arial" w:hAnsi="Arial" w:cs="Arial"/>
          <w:b/>
          <w:bCs/>
          <w:sz w:val="22"/>
          <w:szCs w:val="22"/>
        </w:rPr>
        <w:t xml:space="preserve"> </w:t>
      </w:r>
      <w:r w:rsidR="005466C3" w:rsidRPr="00474F90">
        <w:rPr>
          <w:rFonts w:ascii="Arial" w:hAnsi="Arial" w:cs="Arial"/>
          <w:b/>
          <w:bCs/>
          <w:sz w:val="22"/>
          <w:szCs w:val="22"/>
        </w:rPr>
        <w:t xml:space="preserve">nº </w:t>
      </w:r>
      <w:r w:rsidR="00474F90" w:rsidRPr="00474F90">
        <w:rPr>
          <w:rFonts w:ascii="Arial" w:hAnsi="Arial" w:cs="Arial"/>
          <w:b/>
          <w:bCs/>
          <w:sz w:val="22"/>
          <w:szCs w:val="22"/>
        </w:rPr>
        <w:t>90.080/2025</w:t>
      </w:r>
      <w:r w:rsidRPr="00474F90">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D8FE735"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474F90" w:rsidRPr="00474F90">
        <w:rPr>
          <w:rFonts w:ascii="Arial" w:eastAsia="Times New Roman" w:hAnsi="Arial" w:cs="Arial"/>
          <w:b/>
          <w:bCs/>
          <w:lang w:val="pt-BR" w:eastAsia="pt-BR"/>
        </w:rPr>
        <w:t>AQUISIÇÃO de equipamento costal motorizado e pulverizador de compressão prévia para atender as necessidades da Vigilância em Saúde Ambiental</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139FB489" w:rsidR="009C3548" w:rsidRPr="00474F90" w:rsidRDefault="00474F90" w:rsidP="00474F90">
      <w:pPr>
        <w:pStyle w:val="PargrafodaLista"/>
        <w:widowControl/>
        <w:numPr>
          <w:ilvl w:val="1"/>
          <w:numId w:val="2"/>
        </w:numPr>
        <w:tabs>
          <w:tab w:val="left" w:pos="0"/>
        </w:tabs>
        <w:autoSpaceDE/>
        <w:autoSpaceDN/>
        <w:spacing w:before="120" w:after="120" w:line="276" w:lineRule="auto"/>
        <w:ind w:left="0" w:firstLine="0"/>
        <w:jc w:val="both"/>
        <w:rPr>
          <w:rFonts w:ascii="Arial" w:hAnsi="Arial" w:cs="Arial"/>
          <w:bCs/>
          <w:iCs/>
          <w:u w:val="single"/>
        </w:rPr>
      </w:pPr>
      <w:r w:rsidRPr="00474F90">
        <w:rPr>
          <w:rFonts w:ascii="Arial" w:hAnsi="Arial" w:cs="Arial"/>
          <w:bCs/>
          <w:iCs/>
          <w:u w:val="single"/>
        </w:rPr>
        <w:t>MODELO DE EXECUÇÃO DO OBJETO:</w:t>
      </w:r>
    </w:p>
    <w:p w14:paraId="1D2C08EB" w14:textId="525BF07F"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Os itens deverão ser entregues em parcela única, no prazo máximo de 30 (trinta) dias corridos, contados a partir do recebimento da nota de empenho.</w:t>
      </w:r>
    </w:p>
    <w:p w14:paraId="3D5ED818" w14:textId="0C38C50B"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Caso não seja possível a entrega no prazo acima, a empresa deverá comunicar as razões respectivas com pelo menos 05 (cinco) dias de antecedência para que qualquer pleito de prorrogação de prazo seja analisado, ressalvadas situações de caso fortuito e força maior.</w:t>
      </w:r>
    </w:p>
    <w:p w14:paraId="7A94D773" w14:textId="01D1F0F6"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Os bens deverão ser entregues no seguinte endereço:</w:t>
      </w:r>
    </w:p>
    <w:p w14:paraId="3B1A429A" w14:textId="24E18343" w:rsidR="00474F90" w:rsidRPr="00474F90" w:rsidRDefault="00474F90" w:rsidP="00474F90">
      <w:pPr>
        <w:pStyle w:val="Nivel2"/>
        <w:tabs>
          <w:tab w:val="left" w:pos="0"/>
        </w:tabs>
        <w:spacing w:before="0" w:after="0"/>
        <w:rPr>
          <w:rFonts w:eastAsia="Verdana"/>
          <w:bCs/>
          <w:iCs/>
          <w:color w:val="auto"/>
          <w:sz w:val="22"/>
          <w:szCs w:val="22"/>
          <w:lang w:val="pt-PT" w:eastAsia="en-US"/>
        </w:rPr>
      </w:pPr>
      <w:r w:rsidRPr="00474F90">
        <w:rPr>
          <w:rFonts w:eastAsia="Verdana"/>
          <w:bCs/>
          <w:iCs/>
          <w:color w:val="auto"/>
          <w:sz w:val="22"/>
          <w:szCs w:val="22"/>
          <w:lang w:val="pt-PT" w:eastAsia="en-US"/>
        </w:rPr>
        <w:t xml:space="preserve">- Subsecretaria de Vigilância em Saúde - Rua Augusto Cardoso nº 62 – Centro, Nova Friburgo – RJ. </w:t>
      </w:r>
    </w:p>
    <w:p w14:paraId="7979D01B" w14:textId="2C99D71B"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As entregas deverão ser realizadas de segunda à sexta-feira,  no horário de 09:00h às 16:00h</w:t>
      </w:r>
    </w:p>
    <w:p w14:paraId="5131848F" w14:textId="18B9FF73"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73B73963" w14:textId="7997BBBD"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57218A31" w14:textId="360113DF"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3CBF6420" w14:textId="7E3D4361"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12FAFDF3" w14:textId="77777777"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010557FE" w14:textId="77777777"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lastRenderedPageBreak/>
        <w:t xml:space="preserve">A Contratada deverá oferecer garantia contratual dos bens, complementar à garantia legal, de, no mínimo, 12 (doze) meses, ou pelo prazo fornecido pelo fabricante, se superior, contado a partir do primeiro dia útil subsequente à data do recebimento definitivo do objeto. </w:t>
      </w:r>
    </w:p>
    <w:p w14:paraId="7502EA69" w14:textId="0C1E49E4" w:rsidR="00474F90" w:rsidRPr="00474F90" w:rsidRDefault="00474F90" w:rsidP="00474F90">
      <w:pPr>
        <w:pStyle w:val="Nivel2"/>
        <w:numPr>
          <w:ilvl w:val="2"/>
          <w:numId w:val="2"/>
        </w:numPr>
        <w:tabs>
          <w:tab w:val="left" w:pos="0"/>
        </w:tabs>
        <w:spacing w:before="0" w:after="0"/>
        <w:ind w:left="0" w:firstLine="0"/>
        <w:rPr>
          <w:rFonts w:eastAsia="Verdana"/>
          <w:bCs/>
          <w:iCs/>
          <w:color w:val="auto"/>
          <w:sz w:val="22"/>
          <w:szCs w:val="22"/>
          <w:lang w:val="pt-PT" w:eastAsia="en-US"/>
        </w:rPr>
      </w:pPr>
      <w:r w:rsidRPr="00474F90">
        <w:rPr>
          <w:rFonts w:eastAsia="Verdana"/>
          <w:bCs/>
          <w:iCs/>
          <w:color w:val="auto"/>
          <w:sz w:val="22"/>
          <w:szCs w:val="22"/>
          <w:lang w:val="pt-PT" w:eastAsia="en-US"/>
        </w:rPr>
        <w:t>Visando a manutenção da garantia mencionada no item anterior, será de responsabilidade da Contratada a montagem dos itens (se forem entregues desmontados) a fim de garantir seu pleno funcionamento.</w:t>
      </w:r>
    </w:p>
    <w:p w14:paraId="0BE7A8C5" w14:textId="17D0DA0A"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A garantia será prestada com vistas a manter os equipamentos fornecidos em perfeitas condições de uso, sem qualquer ônus ou custo adicional para o Contratante. </w:t>
      </w:r>
    </w:p>
    <w:p w14:paraId="51425353" w14:textId="7B035A03"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7883751C" w14:textId="086C5E9B"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6630AAD5" w14:textId="36FC3F12"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As peças que apresentarem vício ou defeito no período de vigência da garantia deverão ser substituídas por outras novas, de primeiro uso, e originais, que apresentem padrões de qualidade e desempenho iguais ou superiores aos das peças utilizadas na fabricação do bem.</w:t>
      </w:r>
    </w:p>
    <w:p w14:paraId="74168A5D" w14:textId="6FE696BF"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Durante a vigência do período de garantia, na eventual necessidade de assistência técnica, os custos referentes ao transporte, mão de obra e material utilizado pelos técnicos em função da distância entre a Contratante e o fornecedor ou seu representante técnico serão integralmente pagos pela Contratada.</w:t>
      </w:r>
    </w:p>
    <w:p w14:paraId="1FC6FB96" w14:textId="104BD9D3"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Uma vez notificado, o Contratado realizará a reparação ou substituição dos bens que apresentarem vício ou defeito no prazo de até 05 (cinco) dias úteis, contados a partir da data de retirada do equipamento das dependências da Administração pelo Contratado ou pela assistência técnica autorizada. </w:t>
      </w:r>
    </w:p>
    <w:p w14:paraId="2FAE6F40" w14:textId="25C13064"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51EEC836" w14:textId="6ADEAB1E"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508390EA" w14:textId="5F5F6553"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625B3DEB" w14:textId="3E158ABC" w:rsidR="00474F90" w:rsidRP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 xml:space="preserve">O custo referente ao transporte dos itens cobertos pela garantia será de </w:t>
      </w:r>
      <w:r w:rsidRPr="00474F90">
        <w:rPr>
          <w:rFonts w:ascii="Arial" w:hAnsi="Arial" w:cs="Arial"/>
          <w:bCs/>
          <w:iCs/>
        </w:rPr>
        <w:lastRenderedPageBreak/>
        <w:t xml:space="preserve">responsabilidade do Contratado. </w:t>
      </w:r>
    </w:p>
    <w:p w14:paraId="61634333" w14:textId="2FE410F3" w:rsidR="00474F90" w:rsidRDefault="00474F90" w:rsidP="00474F90">
      <w:pPr>
        <w:pStyle w:val="PargrafodaLista"/>
        <w:numPr>
          <w:ilvl w:val="2"/>
          <w:numId w:val="2"/>
        </w:numPr>
        <w:tabs>
          <w:tab w:val="left" w:pos="0"/>
        </w:tabs>
        <w:spacing w:line="276" w:lineRule="auto"/>
        <w:ind w:left="0" w:firstLine="0"/>
        <w:jc w:val="both"/>
        <w:rPr>
          <w:rFonts w:ascii="Arial" w:hAnsi="Arial" w:cs="Arial"/>
          <w:bCs/>
          <w:iCs/>
        </w:rPr>
      </w:pPr>
      <w:r w:rsidRPr="00474F90">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5B6AF9D1" w14:textId="0C106228" w:rsidR="00474F90" w:rsidRPr="009E757B" w:rsidRDefault="00474F90" w:rsidP="009E757B">
      <w:pPr>
        <w:pStyle w:val="PargrafodaLista"/>
        <w:numPr>
          <w:ilvl w:val="1"/>
          <w:numId w:val="2"/>
        </w:numPr>
        <w:tabs>
          <w:tab w:val="left" w:pos="0"/>
        </w:tabs>
        <w:spacing w:line="276" w:lineRule="auto"/>
        <w:ind w:left="0" w:firstLine="0"/>
        <w:jc w:val="both"/>
        <w:rPr>
          <w:rFonts w:ascii="Arial" w:hAnsi="Arial" w:cs="Arial"/>
          <w:bCs/>
          <w:iCs/>
          <w:u w:val="single"/>
        </w:rPr>
      </w:pPr>
      <w:r w:rsidRPr="009E757B">
        <w:rPr>
          <w:rFonts w:ascii="Arial" w:hAnsi="Arial" w:cs="Arial"/>
          <w:bCs/>
          <w:iCs/>
          <w:u w:val="single"/>
        </w:rPr>
        <w:t>MODELO DE GESTÃO DO CONTRATO:</w:t>
      </w:r>
    </w:p>
    <w:p w14:paraId="1ABF17AA" w14:textId="3906F2BB" w:rsidR="00474F90" w:rsidRPr="009E757B" w:rsidRDefault="00474F90" w:rsidP="009E757B">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2FFBA801" w14:textId="71A94D12" w:rsidR="00474F90" w:rsidRPr="009E757B" w:rsidRDefault="00474F90" w:rsidP="009E757B">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A execução do contrato deverá ser acompanhada e fiscalizada pelo(s) fiscal(is) do contrato, ou pelos respectivos substitutos.</w:t>
      </w:r>
    </w:p>
    <w:p w14:paraId="646900A2" w14:textId="1AA74735" w:rsidR="00474F90" w:rsidRPr="009E757B" w:rsidRDefault="00474F90" w:rsidP="009E757B">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w:t>
      </w:r>
    </w:p>
    <w:p w14:paraId="2B4A31A0" w14:textId="17422CC0" w:rsidR="00474F90" w:rsidRPr="009E757B" w:rsidRDefault="00474F90" w:rsidP="009E757B">
      <w:pPr>
        <w:pStyle w:val="Nivel2"/>
        <w:numPr>
          <w:ilvl w:val="2"/>
          <w:numId w:val="2"/>
        </w:numPr>
        <w:tabs>
          <w:tab w:val="left" w:pos="450"/>
        </w:tabs>
        <w:spacing w:before="0" w:after="0"/>
        <w:ind w:left="0" w:firstLine="0"/>
        <w:rPr>
          <w:rFonts w:eastAsia="Verdana"/>
          <w:bCs/>
          <w:iCs/>
          <w:color w:val="auto"/>
          <w:sz w:val="22"/>
          <w:szCs w:val="22"/>
          <w:lang w:val="pt-PT" w:eastAsia="en-US"/>
        </w:rPr>
      </w:pPr>
      <w:bookmarkStart w:id="3" w:name="art117%252525252525252525252525252525252"/>
      <w:bookmarkEnd w:id="3"/>
      <w:r w:rsidRPr="009E757B">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w:t>
      </w:r>
    </w:p>
    <w:p w14:paraId="585E9ABE" w14:textId="651B335E"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40636023" w14:textId="094AD928"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bookmarkStart w:id="4" w:name="art120"/>
      <w:bookmarkEnd w:id="4"/>
      <w:r w:rsidRPr="009E757B">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3F6BF4E2" w14:textId="02E55730"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2B9E5799" w14:textId="0F3838F6" w:rsidR="00474F90" w:rsidRPr="009E757B" w:rsidRDefault="00474F90" w:rsidP="009E757B">
      <w:pPr>
        <w:pStyle w:val="Nivel3"/>
        <w:numPr>
          <w:ilvl w:val="2"/>
          <w:numId w:val="2"/>
        </w:numPr>
        <w:tabs>
          <w:tab w:val="left" w:pos="450"/>
        </w:tabs>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w:t>
      </w:r>
    </w:p>
    <w:p w14:paraId="490BA5F9" w14:textId="77777777"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1EA02E93" w14:textId="77777777" w:rsidR="009E757B"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órgão ou entidade poderá convocar representante da empresa para adoção de providências que devam ser cumpridas de imediato.</w:t>
      </w:r>
    </w:p>
    <w:p w14:paraId="5D84A1BF" w14:textId="77777777" w:rsidR="009E757B"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1CD69ED" w14:textId="58555AAE"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065506F" w14:textId="08B5224B"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lastRenderedPageBreak/>
        <w:t>Para o acompanhamento, gestão e fiscalização da execução do presente contrato, serão designados em momento posterior, antes da execução do objeto, agentes públicos gestor/gestor substituto e fiscal/ fiscal substituto.</w:t>
      </w:r>
    </w:p>
    <w:p w14:paraId="09CB9A08" w14:textId="6EC67C1F"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62E0D801" w14:textId="0AE65CA6"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6CB99EB" w14:textId="799E1F43" w:rsidR="00474F90" w:rsidRPr="009E757B" w:rsidRDefault="00474F90" w:rsidP="009E757B">
      <w:pPr>
        <w:pStyle w:val="Nivel2"/>
        <w:numPr>
          <w:ilvl w:val="2"/>
          <w:numId w:val="2"/>
        </w:numPr>
        <w:spacing w:before="0" w:after="0"/>
        <w:ind w:left="0" w:firstLine="0"/>
        <w:rPr>
          <w:rFonts w:eastAsia="Verdana"/>
          <w:bCs/>
          <w:iCs/>
          <w:color w:val="auto"/>
          <w:sz w:val="22"/>
          <w:szCs w:val="22"/>
          <w:lang w:val="pt-PT" w:eastAsia="en-US"/>
        </w:rPr>
      </w:pPr>
      <w:r w:rsidRPr="009E757B">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11EB545E" w14:textId="77777777" w:rsidR="00474F90" w:rsidRPr="00474F90" w:rsidRDefault="00474F90" w:rsidP="00474F90">
      <w:pPr>
        <w:tabs>
          <w:tab w:val="left" w:pos="0"/>
        </w:tabs>
        <w:spacing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E757B"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E757B">
        <w:rPr>
          <w:rFonts w:ascii="Arial" w:hAnsi="Arial" w:cs="Arial"/>
          <w:bCs/>
          <w:iCs/>
        </w:rPr>
        <w:t>O valor total da contratação é de R$.......... (.....)</w:t>
      </w:r>
    </w:p>
    <w:p w14:paraId="19E0CAC1" w14:textId="3066B963" w:rsidR="001D32DF" w:rsidRPr="009E757B"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E757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E757B"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E757B">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37548B">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309CF6E6" w14:textId="031BA7DC" w:rsidR="00B00A88" w:rsidRPr="00B00A88" w:rsidRDefault="00B00A88" w:rsidP="0037548B">
      <w:pPr>
        <w:pStyle w:val="PargrafodaLista"/>
        <w:numPr>
          <w:ilvl w:val="1"/>
          <w:numId w:val="2"/>
        </w:numPr>
        <w:spacing w:before="0" w:line="360" w:lineRule="auto"/>
        <w:ind w:left="0" w:firstLine="0"/>
        <w:rPr>
          <w:rFonts w:ascii="Arial" w:hAnsi="Arial" w:cs="Arial"/>
          <w:bCs/>
          <w:iCs/>
        </w:rPr>
      </w:pPr>
      <w:r w:rsidRPr="00B00A88">
        <w:rPr>
          <w:rFonts w:ascii="Arial" w:hAnsi="Arial" w:cs="Arial"/>
          <w:bCs/>
          <w:iCs/>
        </w:rPr>
        <w:t xml:space="preserve">As notas fiscais deverão ser emitidas em nome do: </w:t>
      </w:r>
      <w:r w:rsidRPr="0037548B">
        <w:rPr>
          <w:rFonts w:ascii="Arial" w:hAnsi="Arial" w:cs="Arial"/>
          <w:b/>
          <w:iCs/>
        </w:rPr>
        <w:t>FUNDO MUNICIPAL DE SAÚDE, CNPJ: 11.399.442/0001-79, AVENIDA ALBERTO BRAUNE, Nº 224, SALA 221, CENTRO, NOVA FRIBURGO/RJ, CEP 28613-001</w:t>
      </w:r>
      <w:r w:rsidRPr="00B00A88">
        <w:rPr>
          <w:rFonts w:ascii="Arial" w:hAnsi="Arial" w:cs="Arial"/>
          <w:bCs/>
          <w:iCs/>
        </w:rPr>
        <w:t>.</w:t>
      </w:r>
    </w:p>
    <w:p w14:paraId="1852E5AF" w14:textId="1F01A810" w:rsidR="00B00A88" w:rsidRPr="00B00A88" w:rsidRDefault="00B00A88" w:rsidP="0037548B">
      <w:pPr>
        <w:pStyle w:val="PargrafodaLista"/>
        <w:numPr>
          <w:ilvl w:val="1"/>
          <w:numId w:val="2"/>
        </w:numPr>
        <w:shd w:val="clear" w:color="auto" w:fill="FFFFFF"/>
        <w:spacing w:before="0" w:line="360" w:lineRule="auto"/>
        <w:ind w:left="0" w:firstLine="0"/>
        <w:contextualSpacing/>
        <w:jc w:val="both"/>
        <w:rPr>
          <w:rFonts w:ascii="Arial" w:hAnsi="Arial" w:cs="Arial"/>
          <w:bCs/>
          <w:iCs/>
        </w:rPr>
      </w:pPr>
      <w:r w:rsidRPr="00B00A88">
        <w:rPr>
          <w:rFonts w:ascii="Arial" w:hAnsi="Arial" w:cs="Arial"/>
          <w:bCs/>
          <w:iCs/>
        </w:rPr>
        <w:t xml:space="preserve">Todos os itens deverão ser entregues à Subsecretaria de Vigilância em Saúde, situada à Rua Augusto Cardoso nº 62 – Centro, Nova Friburgo – RJ </w:t>
      </w:r>
    </w:p>
    <w:p w14:paraId="69EEA335" w14:textId="6F96CD99" w:rsidR="00B00A88" w:rsidRPr="0037548B" w:rsidRDefault="00B00A88" w:rsidP="0037548B">
      <w:pPr>
        <w:pStyle w:val="PargrafodaLista"/>
        <w:numPr>
          <w:ilvl w:val="1"/>
          <w:numId w:val="2"/>
        </w:numPr>
        <w:spacing w:before="0" w:line="360" w:lineRule="auto"/>
        <w:ind w:left="0" w:firstLine="0"/>
        <w:jc w:val="both"/>
        <w:rPr>
          <w:rFonts w:ascii="Arial" w:hAnsi="Arial" w:cs="Arial"/>
          <w:bCs/>
          <w:iCs/>
          <w:u w:val="single"/>
        </w:rPr>
      </w:pPr>
      <w:r w:rsidRPr="0037548B">
        <w:rPr>
          <w:rFonts w:ascii="Arial" w:hAnsi="Arial" w:cs="Arial"/>
          <w:bCs/>
          <w:iCs/>
          <w:u w:val="single"/>
        </w:rPr>
        <w:t>Da liquidação da despesa:</w:t>
      </w:r>
    </w:p>
    <w:p w14:paraId="3E7A2D49" w14:textId="2EA1C19B" w:rsidR="004E680C" w:rsidRPr="004E680C" w:rsidRDefault="004E680C" w:rsidP="004E680C">
      <w:pPr>
        <w:pStyle w:val="PargrafodaLista"/>
        <w:numPr>
          <w:ilvl w:val="2"/>
          <w:numId w:val="2"/>
        </w:numPr>
        <w:spacing w:line="276" w:lineRule="auto"/>
        <w:ind w:left="0" w:firstLine="0"/>
        <w:jc w:val="both"/>
        <w:rPr>
          <w:rFonts w:ascii="Arial" w:hAnsi="Arial" w:cs="Arial"/>
          <w:bCs/>
          <w:iCs/>
        </w:rPr>
      </w:pPr>
      <w:r w:rsidRPr="004E680C">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w:t>
      </w:r>
      <w:hyperlink r:id="rId10">
        <w:r w:rsidRPr="004E680C">
          <w:rPr>
            <w:rFonts w:ascii="Arial" w:hAnsi="Arial" w:cs="Arial"/>
            <w:bCs/>
            <w:iCs/>
          </w:rPr>
          <w:t>https://pmnf.rj.gov.br/paginas-centralizadas/9_64_Legislacoes.html</w:t>
        </w:r>
      </w:hyperlink>
      <w:hyperlink r:id="rId11">
        <w:r w:rsidRPr="004E680C">
          <w:rPr>
            <w:rFonts w:ascii="Arial" w:hAnsi="Arial" w:cs="Arial"/>
            <w:bCs/>
            <w:iCs/>
          </w:rPr>
          <w:t>.</w:t>
        </w:r>
      </w:hyperlink>
    </w:p>
    <w:p w14:paraId="37E4FB1F" w14:textId="01A926E8" w:rsidR="00B00A88"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lastRenderedPageBreak/>
        <w:t>Deverá ser observado no momento da emissão do Documento Fiscal e na liquidação da despesa os dispositivos do Decreto Municipal nº 2.480/2023, o qual dispõe sobre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3B75409B" w14:textId="32F4614F" w:rsidR="00B00A88" w:rsidRPr="0037548B" w:rsidRDefault="00B00A88" w:rsidP="0037548B">
      <w:pPr>
        <w:pStyle w:val="PargrafodaLista"/>
        <w:numPr>
          <w:ilvl w:val="1"/>
          <w:numId w:val="2"/>
        </w:numPr>
        <w:spacing w:before="0" w:line="360" w:lineRule="auto"/>
        <w:ind w:left="0" w:firstLine="0"/>
        <w:jc w:val="both"/>
        <w:rPr>
          <w:rFonts w:ascii="Arial" w:hAnsi="Arial" w:cs="Arial"/>
          <w:bCs/>
          <w:iCs/>
          <w:u w:val="single"/>
        </w:rPr>
      </w:pPr>
      <w:r w:rsidRPr="0037548B">
        <w:rPr>
          <w:rFonts w:ascii="Arial" w:hAnsi="Arial" w:cs="Arial"/>
          <w:bCs/>
          <w:iCs/>
          <w:u w:val="single"/>
        </w:rPr>
        <w:t>Do pagamento da despesa:</w:t>
      </w:r>
    </w:p>
    <w:p w14:paraId="5315D4B9" w14:textId="776988EB" w:rsidR="00B00A88"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t>O pagamento será efetuado conforme estabelecido no  Decreto Municipal nº 2493, de 07 de novembro de 2023, desde que as certidões listadas abaixo estejam dentro da validade:</w:t>
      </w:r>
    </w:p>
    <w:p w14:paraId="62928248" w14:textId="77777777"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Negativa de Débitos Trabalhistas; </w:t>
      </w:r>
    </w:p>
    <w:p w14:paraId="403E0A77" w14:textId="77777777"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Fazenda Federal – abrange as contribuições sociais; </w:t>
      </w:r>
    </w:p>
    <w:p w14:paraId="56683BB7" w14:textId="77777777"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FGTS; </w:t>
      </w:r>
    </w:p>
    <w:p w14:paraId="640A4B79" w14:textId="77777777"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PGE – referente à Dívida Ativa Estadual; </w:t>
      </w:r>
    </w:p>
    <w:p w14:paraId="18DB94CB" w14:textId="77777777"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Municipal – referente ao ISS e Dívida Ativa; </w:t>
      </w:r>
    </w:p>
    <w:p w14:paraId="078EA6DC" w14:textId="767243BB" w:rsidR="00B00A88" w:rsidRPr="00B00A88" w:rsidRDefault="00B00A88" w:rsidP="0037548B">
      <w:pPr>
        <w:pStyle w:val="PargrafodaLista"/>
        <w:spacing w:before="0" w:line="360" w:lineRule="auto"/>
        <w:ind w:left="0"/>
        <w:jc w:val="both"/>
        <w:rPr>
          <w:rFonts w:ascii="Arial" w:hAnsi="Arial" w:cs="Arial"/>
          <w:bCs/>
          <w:iCs/>
        </w:rPr>
      </w:pPr>
      <w:r w:rsidRPr="00B00A88">
        <w:rPr>
          <w:rFonts w:ascii="Arial" w:hAnsi="Arial" w:cs="Arial"/>
          <w:bCs/>
          <w:iCs/>
        </w:rPr>
        <w:t xml:space="preserve"> - Estadual CND – referente ao ICMS.</w:t>
      </w:r>
    </w:p>
    <w:p w14:paraId="06A3FDBF" w14:textId="5C4A2BA2" w:rsidR="00B00A88"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t xml:space="preserve">A Nota Fiscal  deverá conter a identificação do Banco, número da Agência e da Conta Corrente, para que possibilite o CONTRATANTE efetuar o pagamento do valor devido; </w:t>
      </w:r>
    </w:p>
    <w:p w14:paraId="5C4A4839" w14:textId="2AB86366" w:rsidR="00B00A88"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t>Na ocorrência de rejeição da(s) Nota(s) Fiscal (s), motivada por erro ou incorreções, o prazo para pagamento estipulado acima passará a ser contado a partir da data de sua reapresentação.</w:t>
      </w:r>
    </w:p>
    <w:p w14:paraId="28C1A99F" w14:textId="204230B5" w:rsidR="00B00A88"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6453485" w14:textId="4416453B" w:rsidR="009E757B" w:rsidRPr="00B00A88" w:rsidRDefault="00B00A88" w:rsidP="0037548B">
      <w:pPr>
        <w:pStyle w:val="PargrafodaLista"/>
        <w:numPr>
          <w:ilvl w:val="2"/>
          <w:numId w:val="2"/>
        </w:numPr>
        <w:spacing w:before="0" w:line="360" w:lineRule="auto"/>
        <w:ind w:left="0" w:firstLine="0"/>
        <w:jc w:val="both"/>
        <w:rPr>
          <w:rFonts w:ascii="Arial" w:hAnsi="Arial" w:cs="Arial"/>
          <w:bCs/>
          <w:iCs/>
        </w:rPr>
      </w:pPr>
      <w:r w:rsidRPr="00B00A88">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F351C72" w14:textId="77777777" w:rsidR="009E757B" w:rsidRPr="008C13A3" w:rsidRDefault="009E757B"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37548B"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7548B">
        <w:rPr>
          <w:rFonts w:ascii="Arial" w:hAnsi="Arial" w:cs="Arial"/>
          <w:bCs/>
          <w:iCs/>
        </w:rPr>
        <w:lastRenderedPageBreak/>
        <w:t>Os preços inicialmente contratados são fixos e irreajustáveis no prazo de um ano contado da data do orçamento estimado, em __/__/__ (DD/MM/AAAA).</w:t>
      </w:r>
    </w:p>
    <w:p w14:paraId="70569D4F" w14:textId="46033915" w:rsidR="0097688D" w:rsidRPr="0037548B"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7548B">
        <w:rPr>
          <w:rFonts w:ascii="Arial" w:hAnsi="Arial" w:cs="Arial"/>
          <w:bCs/>
          <w:iCs/>
        </w:rPr>
        <w:t xml:space="preserve">Após o interregno de um ano, e independentemente de pedido do contratado, os preços iniciais serão reajustados, mediante a aplicação, pelo contratante, </w:t>
      </w:r>
      <w:r w:rsidRPr="0037548B">
        <w:rPr>
          <w:rFonts w:ascii="Arial" w:hAnsi="Arial" w:cs="Arial"/>
          <w:bCs/>
          <w:iCs/>
          <w:lang w:val="pt-BR"/>
        </w:rPr>
        <w:t>do Índice Nacional de Preços ao Consumidor Amplo (IPCA), instituído pelo Instituto Brasileiro de Geografia e Estatística (IBGE)</w:t>
      </w:r>
      <w:r w:rsidRPr="0037548B">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2"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37548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w:t>
      </w:r>
      <w:r w:rsidRPr="0037548B">
        <w:rPr>
          <w:rFonts w:ascii="Arial" w:hAnsi="Arial" w:cs="Arial"/>
          <w:bCs/>
          <w:iCs/>
          <w:lang w:val="pt-BR"/>
        </w:rPr>
        <w:t xml:space="preserve">de </w:t>
      </w:r>
      <w:r w:rsidRPr="0037548B">
        <w:rPr>
          <w:rFonts w:ascii="Arial" w:hAnsi="Arial" w:cs="Arial"/>
          <w:bCs/>
          <w:iCs/>
        </w:rPr>
        <w:t>1 (um) mês</w:t>
      </w:r>
      <w:r w:rsidRPr="0037548B">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7548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7548B">
        <w:rPr>
          <w:rFonts w:ascii="Arial" w:hAnsi="Arial" w:cs="Arial"/>
          <w:bCs/>
          <w:iCs/>
          <w:lang w:val="pt-BR"/>
        </w:rPr>
        <w:t xml:space="preserve">Responder eventuais pedidos de reestabelecimento do equilíbrio econômico-financeiro feitos pelo contratado no prazo máximo de </w:t>
      </w:r>
      <w:r w:rsidRPr="0037548B">
        <w:rPr>
          <w:rFonts w:ascii="Arial" w:hAnsi="Arial" w:cs="Arial"/>
          <w:bCs/>
          <w:iCs/>
        </w:rPr>
        <w:t>1 (um) mês</w:t>
      </w:r>
      <w:r w:rsidRPr="0037548B">
        <w:rPr>
          <w:rFonts w:ascii="Arial" w:hAnsi="Arial" w:cs="Arial"/>
          <w:bCs/>
          <w:iCs/>
          <w:lang w:val="pt-BR"/>
        </w:rPr>
        <w:t>.</w:t>
      </w:r>
    </w:p>
    <w:p w14:paraId="5080FE7D" w14:textId="074B8419"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7548B">
        <w:rPr>
          <w:rFonts w:ascii="Arial" w:hAnsi="Arial" w:cs="Arial"/>
          <w:bCs/>
          <w:iCs/>
          <w:lang w:val="pt-BR"/>
        </w:rPr>
        <w:t>A Administração não responderá por quaisquer compromissos assumidos pelo Contratado com terceiros, ainda que vinculados à execução do contrato</w:t>
      </w:r>
      <w:r w:rsidRPr="008C13A3">
        <w:rPr>
          <w:rFonts w:ascii="Arial" w:hAnsi="Arial" w:cs="Arial"/>
          <w:bCs/>
          <w:iCs/>
          <w:lang w:val="pt-BR"/>
        </w:rPr>
        <w:t>, bem como por qualquer dano causado a terceiros em decorrência de ato do Contratado, de seus empregados, prepostos ou subordinados.</w:t>
      </w:r>
    </w:p>
    <w:p w14:paraId="77175519" w14:textId="77777777" w:rsidR="004E680C" w:rsidRPr="008C13A3" w:rsidRDefault="004E680C" w:rsidP="004E680C">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3"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4"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5"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7"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2" w:anchor="art156§2" w:history="1">
        <w:r w:rsidRPr="008C13A3">
          <w:rPr>
            <w:rStyle w:val="Hyperlink"/>
            <w:rFonts w:ascii="Arial" w:eastAsia="Arial" w:hAnsi="Arial" w:cs="Arial"/>
          </w:rPr>
          <w:t xml:space="preserve">art. 156, §2º, da </w:t>
        </w:r>
        <w:bookmarkStart w:id="5" w:name="_Hlk114504069"/>
        <w:r w:rsidRPr="008C13A3">
          <w:rPr>
            <w:rStyle w:val="Hyperlink"/>
            <w:rFonts w:ascii="Arial" w:eastAsia="Arial" w:hAnsi="Arial" w:cs="Arial"/>
          </w:rPr>
          <w:t>Lei nº 14.133, de 2021</w:t>
        </w:r>
        <w:bookmarkEnd w:id="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5"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6"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7"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0"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2" w:history="1">
        <w:r w:rsidRPr="008C13A3">
          <w:rPr>
            <w:rStyle w:val="Hyperlink"/>
            <w:rFonts w:ascii="Arial" w:hAnsi="Arial" w:cs="Arial"/>
          </w:rPr>
          <w:t>Lei nº 12.846, de 2013</w:t>
        </w:r>
      </w:hyperlink>
      <w:r w:rsidRPr="008C13A3">
        <w:rPr>
          <w:rFonts w:ascii="Arial" w:hAnsi="Arial" w:cs="Arial"/>
        </w:rPr>
        <w:t xml:space="preserve">, serão apurados e julgados conjuntamente, nos </w:t>
      </w:r>
      <w:r w:rsidRPr="008C13A3">
        <w:rPr>
          <w:rFonts w:ascii="Arial" w:hAnsi="Arial" w:cs="Arial"/>
        </w:rPr>
        <w:lastRenderedPageBreak/>
        <w:t>mesmos autos, observados o rito procedimental e autoridade competente definidos na referida Lei (</w:t>
      </w:r>
      <w:hyperlink r:id="rId33"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8"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0DD23D6"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2"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8C0D4EE" w14:textId="59B8ECDD" w:rsidR="0037548B" w:rsidRPr="0037548B" w:rsidRDefault="0037548B" w:rsidP="0037548B">
      <w:pPr>
        <w:pStyle w:val="PargrafodaLista"/>
        <w:numPr>
          <w:ilvl w:val="1"/>
          <w:numId w:val="2"/>
        </w:numPr>
        <w:spacing w:line="276" w:lineRule="auto"/>
        <w:ind w:left="0" w:firstLine="0"/>
        <w:jc w:val="both"/>
        <w:rPr>
          <w:rFonts w:ascii="Arial" w:hAnsi="Arial" w:cs="Arial"/>
        </w:rPr>
      </w:pPr>
      <w:r w:rsidRPr="0037548B">
        <w:rPr>
          <w:rFonts w:ascii="Arial" w:hAnsi="Arial" w:cs="Arial"/>
        </w:rPr>
        <w:t>As despesas decorrentes da presente contratação correrão à conta de recursos específicos consignados no Orçamento do Município, na forma abaixo:</w:t>
      </w:r>
    </w:p>
    <w:p w14:paraId="28B57F03" w14:textId="77777777" w:rsidR="0037548B" w:rsidRPr="0037548B" w:rsidRDefault="0037548B" w:rsidP="0037548B">
      <w:pPr>
        <w:spacing w:line="276" w:lineRule="auto"/>
        <w:jc w:val="both"/>
        <w:rPr>
          <w:rFonts w:ascii="Arial" w:hAnsi="Arial" w:cs="Arial"/>
        </w:rPr>
      </w:pPr>
    </w:p>
    <w:tbl>
      <w:tblPr>
        <w:tblW w:w="9072" w:type="dxa"/>
        <w:tblLook w:val="04A0" w:firstRow="1" w:lastRow="0" w:firstColumn="1" w:lastColumn="0" w:noHBand="0" w:noVBand="1"/>
      </w:tblPr>
      <w:tblGrid>
        <w:gridCol w:w="2480"/>
        <w:gridCol w:w="2663"/>
        <w:gridCol w:w="1263"/>
        <w:gridCol w:w="2666"/>
      </w:tblGrid>
      <w:tr w:rsidR="0037548B" w:rsidRPr="0037548B" w14:paraId="7D5147E3" w14:textId="77777777" w:rsidTr="0037548B">
        <w:tc>
          <w:tcPr>
            <w:tcW w:w="2480" w:type="dxa"/>
            <w:shd w:val="clear" w:color="auto" w:fill="auto"/>
            <w:vAlign w:val="center"/>
          </w:tcPr>
          <w:p w14:paraId="55D653AE"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Órgão/Unidade Orçamentária</w:t>
            </w:r>
          </w:p>
        </w:tc>
        <w:tc>
          <w:tcPr>
            <w:tcW w:w="2663" w:type="dxa"/>
            <w:shd w:val="clear" w:color="auto" w:fill="auto"/>
            <w:vAlign w:val="center"/>
          </w:tcPr>
          <w:p w14:paraId="1A551FE4"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Programa de Trabalho</w:t>
            </w:r>
          </w:p>
        </w:tc>
        <w:tc>
          <w:tcPr>
            <w:tcW w:w="1263" w:type="dxa"/>
            <w:shd w:val="clear" w:color="auto" w:fill="auto"/>
            <w:vAlign w:val="center"/>
          </w:tcPr>
          <w:p w14:paraId="4EB533F6"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 xml:space="preserve">Fonte </w:t>
            </w:r>
          </w:p>
        </w:tc>
        <w:tc>
          <w:tcPr>
            <w:tcW w:w="2666" w:type="dxa"/>
            <w:shd w:val="clear" w:color="auto" w:fill="auto"/>
            <w:vAlign w:val="center"/>
          </w:tcPr>
          <w:p w14:paraId="18973ECF"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Natureza da Despesa</w:t>
            </w:r>
          </w:p>
        </w:tc>
      </w:tr>
      <w:tr w:rsidR="0037548B" w:rsidRPr="0037548B" w14:paraId="5E9E7CDC" w14:textId="77777777" w:rsidTr="0037548B">
        <w:tc>
          <w:tcPr>
            <w:tcW w:w="2480" w:type="dxa"/>
            <w:shd w:val="clear" w:color="auto" w:fill="auto"/>
            <w:vAlign w:val="center"/>
          </w:tcPr>
          <w:p w14:paraId="323FD49D"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Vigilância em Saúde</w:t>
            </w:r>
          </w:p>
        </w:tc>
        <w:tc>
          <w:tcPr>
            <w:tcW w:w="2663" w:type="dxa"/>
            <w:shd w:val="clear" w:color="auto" w:fill="auto"/>
            <w:vAlign w:val="center"/>
          </w:tcPr>
          <w:p w14:paraId="55CC5C55"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 xml:space="preserve">30001.10.305.00862.208 </w:t>
            </w:r>
          </w:p>
        </w:tc>
        <w:tc>
          <w:tcPr>
            <w:tcW w:w="1263" w:type="dxa"/>
            <w:shd w:val="clear" w:color="auto" w:fill="auto"/>
            <w:vAlign w:val="center"/>
          </w:tcPr>
          <w:p w14:paraId="1BFF05CB"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2621</w:t>
            </w:r>
          </w:p>
        </w:tc>
        <w:tc>
          <w:tcPr>
            <w:tcW w:w="2666" w:type="dxa"/>
            <w:shd w:val="clear" w:color="auto" w:fill="auto"/>
          </w:tcPr>
          <w:p w14:paraId="218DF937" w14:textId="77777777" w:rsidR="0037548B" w:rsidRPr="0037548B" w:rsidRDefault="0037548B" w:rsidP="0037548B">
            <w:pPr>
              <w:pStyle w:val="PargrafodaLista"/>
              <w:spacing w:line="276" w:lineRule="auto"/>
              <w:ind w:left="0"/>
              <w:jc w:val="center"/>
              <w:rPr>
                <w:rFonts w:ascii="Arial" w:hAnsi="Arial" w:cs="Arial"/>
              </w:rPr>
            </w:pPr>
            <w:r w:rsidRPr="0037548B">
              <w:rPr>
                <w:rFonts w:ascii="Arial" w:hAnsi="Arial" w:cs="Arial"/>
              </w:rPr>
              <w:t>449052.18</w:t>
            </w:r>
          </w:p>
        </w:tc>
      </w:tr>
    </w:tbl>
    <w:p w14:paraId="120C7BB4" w14:textId="0F2244D6"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3"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4"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5"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6"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7"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8"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9"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0"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1"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2"/>
      <w:footerReference w:type="default" r:id="rId5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1B416" w14:textId="77777777" w:rsidR="00C10D79" w:rsidRDefault="00C10D79">
      <w:r>
        <w:separator/>
      </w:r>
    </w:p>
  </w:endnote>
  <w:endnote w:type="continuationSeparator" w:id="0">
    <w:p w14:paraId="72A5C798" w14:textId="77777777" w:rsidR="00C10D79" w:rsidRDefault="00C1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39808" w14:textId="77777777" w:rsidR="00C10D79" w:rsidRDefault="00C10D79">
      <w:r>
        <w:separator/>
      </w:r>
    </w:p>
  </w:footnote>
  <w:footnote w:type="continuationSeparator" w:id="0">
    <w:p w14:paraId="7A1E4C8A" w14:textId="77777777" w:rsidR="00C10D79" w:rsidRDefault="00C10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7548B"/>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4F90"/>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4E680C"/>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2E40"/>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E757B"/>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0A88"/>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0D79"/>
    <w:rsid w:val="00C12366"/>
    <w:rsid w:val="00C16694"/>
    <w:rsid w:val="00C47458"/>
    <w:rsid w:val="00C474DC"/>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32238"/>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rsid w:val="00B00A88"/>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2/decreto/d7724.htm"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8078compilado.htm"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1/lei/l12527.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14</Pages>
  <Words>5975</Words>
  <Characters>32266</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2023-08-22T17:19:00Z</cp:lastPrinted>
  <dcterms:created xsi:type="dcterms:W3CDTF">2023-08-18T18:10:00Z</dcterms:created>
  <dcterms:modified xsi:type="dcterms:W3CDTF">2025-07-28T12:48:00Z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